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Merriweather" w:hAnsi="Merriweather" w:cs="Times New Roman"/>
          <w:b/>
          <w:b/>
          <w:sz w:val="24"/>
        </w:rPr>
      </w:pPr>
      <w:r>
        <w:rPr>
          <w:rFonts w:cs="Times New Roman" w:ascii="Merriweather" w:hAnsi="Merriweather"/>
          <w:b/>
          <w:sz w:val="24"/>
        </w:rPr>
        <w:t>Izvedbeni plan nastave (</w:t>
      </w:r>
      <w:r>
        <w:rPr>
          <w:rFonts w:cs="Times New Roman" w:ascii="Merriweather" w:hAnsi="Merriweather"/>
          <w:b/>
          <w:i/>
          <w:sz w:val="24"/>
        </w:rPr>
        <w:t>syllabus</w:t>
      </w:r>
      <w:r>
        <w:rPr>
          <w:rStyle w:val="FootnoteAnchor"/>
          <w:rFonts w:cs="Times New Roman" w:ascii="Merriweather" w:hAnsi="Merriweather"/>
          <w:sz w:val="24"/>
        </w:rPr>
        <w:footnoteReference w:id="2"/>
      </w:r>
      <w:r>
        <w:rPr>
          <w:rFonts w:cs="Times New Roman" w:ascii="Merriweather" w:hAnsi="Merriweather"/>
          <w:b/>
          <w:sz w:val="24"/>
        </w:rPr>
        <w:t>)</w:t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0"/>
        <w:gridCol w:w="415"/>
        <w:gridCol w:w="416"/>
        <w:gridCol w:w="238"/>
        <w:gridCol w:w="178"/>
        <w:gridCol w:w="137"/>
        <w:gridCol w:w="42"/>
        <w:gridCol w:w="70"/>
        <w:gridCol w:w="165"/>
        <w:gridCol w:w="70"/>
        <w:gridCol w:w="349"/>
        <w:gridCol w:w="59"/>
        <w:gridCol w:w="357"/>
        <w:gridCol w:w="295"/>
        <w:gridCol w:w="116"/>
        <w:gridCol w:w="90"/>
        <w:gridCol w:w="212"/>
        <w:gridCol w:w="52"/>
        <w:gridCol w:w="433"/>
        <w:gridCol w:w="249"/>
        <w:gridCol w:w="334"/>
        <w:gridCol w:w="217"/>
        <w:gridCol w:w="476"/>
        <w:gridCol w:w="209"/>
        <w:gridCol w:w="22"/>
        <w:gridCol w:w="147"/>
        <w:gridCol w:w="27"/>
        <w:gridCol w:w="300"/>
        <w:gridCol w:w="80"/>
        <w:gridCol w:w="202"/>
        <w:gridCol w:w="31"/>
        <w:gridCol w:w="316"/>
        <w:gridCol w:w="80"/>
        <w:gridCol w:w="1103"/>
      </w:tblGrid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Sastavnica</w:t>
            </w:r>
          </w:p>
        </w:tc>
        <w:tc>
          <w:tcPr>
            <w:tcW w:w="5201" w:type="dxa"/>
            <w:gridSpan w:val="24"/>
            <w:tcBorders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Odjel za izobrazbu učitelja i odgojitelja</w:t>
            </w:r>
          </w:p>
        </w:tc>
        <w:tc>
          <w:tcPr>
            <w:tcW w:w="756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akad. god.</w:t>
            </w:r>
          </w:p>
        </w:tc>
        <w:tc>
          <w:tcPr>
            <w:tcW w:w="1530" w:type="dxa"/>
            <w:gridSpan w:val="4"/>
            <w:tcBorders/>
            <w:vAlign w:val="center"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cs="Times New Roman" w:ascii="Merriweather" w:hAnsi="Merriweather"/>
                <w:sz w:val="20"/>
              </w:rPr>
              <w:t>2022./2023.</w:t>
            </w:r>
          </w:p>
        </w:tc>
      </w:tr>
      <w:tr>
        <w:trPr>
          <w:trHeight w:val="178" w:hRule="atLeast"/>
        </w:trPr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201" w:type="dxa"/>
            <w:gridSpan w:val="24"/>
            <w:tcBorders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eastAsia="Calibri" w:cs="Times New Roman" w:eastAsiaTheme="minorHAnsi"/>
                <w:b/>
                <w:b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Times New Roman" w:ascii="Merriweather" w:hAnsi="Merriweather" w:eastAsiaTheme="minorHAnsi"/>
                <w:b/>
                <w:color w:val="auto"/>
                <w:kern w:val="0"/>
                <w:sz w:val="20"/>
                <w:szCs w:val="22"/>
                <w:lang w:val="hr-HR" w:eastAsia="en-US" w:bidi="ar-SA"/>
              </w:rPr>
              <w:t>Matematika 2</w:t>
            </w:r>
          </w:p>
        </w:tc>
        <w:tc>
          <w:tcPr>
            <w:tcW w:w="756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ECTS</w:t>
            </w:r>
          </w:p>
        </w:tc>
        <w:tc>
          <w:tcPr>
            <w:tcW w:w="1530" w:type="dxa"/>
            <w:gridSpan w:val="4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3</w:t>
            </w:r>
            <w:bookmarkStart w:id="0" w:name="_GoBack"/>
            <w:bookmarkEnd w:id="0"/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r>
              <w:rPr>
                <w:rFonts w:cs="Times New Roman"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3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eastAsia="Calibri" w:cs="Times New Roman" w:eastAsiaTheme="minorHAnsi"/>
                <w:b/>
                <w:b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hyperlink r:id="rId2">
              <w:r>
                <w:rPr>
                  <w:rStyle w:val="InternetLink"/>
                  <w:rFonts w:eastAsia="Calibri" w:cs="Times New Roman" w:ascii="Merriweather" w:hAnsi="Merriweather" w:eastAsiaTheme="minorHAnsi"/>
                  <w:b/>
                  <w:color w:val="auto"/>
                  <w:kern w:val="0"/>
                  <w:sz w:val="20"/>
                  <w:szCs w:val="22"/>
                  <w:lang w:val="hr-HR" w:eastAsia="en-US" w:bidi="ar-SA"/>
                </w:rPr>
                <w:t>Integrirani preddiplomski i diplomski učiteljski studij</w:t>
              </w:r>
            </w:hyperlink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Merriweather" w:hAnsi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31" w:type="dxa"/>
            <w:gridSpan w:val="9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 xml:space="preserve">preddiplomski </w:t>
            </w:r>
          </w:p>
        </w:tc>
        <w:tc>
          <w:tcPr>
            <w:tcW w:w="1530" w:type="dxa"/>
            <w:gridSpan w:val="8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>diplomski</w:t>
            </w:r>
          </w:p>
        </w:tc>
        <w:tc>
          <w:tcPr>
            <w:tcW w:w="1940" w:type="dxa"/>
            <w:gridSpan w:val="7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86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>poslijediplomski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Merriweather" w:hAnsi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  <w:r>
                  <w:rPr>
                    <w:rFonts w:eastAsia="MS Gothic" w:cs="MS Gothic" w:ascii="MS Gothic" w:hAnsi="MS Gothic"/>
                    <w:sz w:val="18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1.</w:t>
            </w:r>
          </w:p>
        </w:tc>
        <w:tc>
          <w:tcPr>
            <w:tcW w:w="1501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2.</w:t>
            </w:r>
          </w:p>
        </w:tc>
        <w:tc>
          <w:tcPr>
            <w:tcW w:w="1497" w:type="dxa"/>
            <w:gridSpan w:val="6"/>
            <w:tcBorders/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3.</w:t>
            </w:r>
          </w:p>
        </w:tc>
        <w:tc>
          <w:tcPr>
            <w:tcW w:w="1494" w:type="dxa"/>
            <w:gridSpan w:val="9"/>
            <w:tcBorders/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4.</w:t>
            </w:r>
          </w:p>
        </w:tc>
        <w:tc>
          <w:tcPr>
            <w:tcW w:w="1499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5.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9" w:type="dxa"/>
            <w:gridSpan w:val="3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>zimski</w:t>
            </w:r>
          </w:p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>ljetni</w:t>
            </w:r>
          </w:p>
        </w:tc>
        <w:tc>
          <w:tcPr>
            <w:tcW w:w="1070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I.</w:t>
            </w:r>
          </w:p>
        </w:tc>
        <w:tc>
          <w:tcPr>
            <w:tcW w:w="1070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II.</w:t>
            </w:r>
          </w:p>
        </w:tc>
        <w:tc>
          <w:tcPr>
            <w:tcW w:w="1068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III.</w:t>
            </w:r>
          </w:p>
        </w:tc>
        <w:tc>
          <w:tcPr>
            <w:tcW w:w="1071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IV.</w:t>
            </w:r>
          </w:p>
        </w:tc>
        <w:tc>
          <w:tcPr>
            <w:tcW w:w="103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V.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VI.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Merriweather" w:hAnsi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  <w:szCs w:val="20"/>
                  </w:rPr>
                  <w:t>☐</w:t>
                </w:r>
                <w:r>
                  <w:rPr>
                    <w:rFonts w:eastAsia="MS Gothic" w:cs="MS Gothic" w:ascii="MS Gothic" w:hAnsi="MS Gothic"/>
                    <w:sz w:val="18"/>
                    <w:szCs w:val="20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>ob</w:t>
            </w:r>
            <w:r>
              <w:rPr>
                <w:rFonts w:cs="Times New Roman" w:ascii="Merriweather" w:hAnsi="Merriweather"/>
                <w:sz w:val="18"/>
                <w:szCs w:val="20"/>
              </w:rPr>
              <w:t>a</w:t>
            </w:r>
            <w:r>
              <w:rPr>
                <w:rFonts w:cs="Times New Roman" w:ascii="Merriweather" w:hAnsi="Merriweather"/>
                <w:sz w:val="18"/>
                <w:szCs w:val="20"/>
              </w:rPr>
              <w:t>vezni kolegij</w:t>
            </w:r>
          </w:p>
        </w:tc>
        <w:tc>
          <w:tcPr>
            <w:tcW w:w="1070" w:type="dxa"/>
            <w:gridSpan w:val="8"/>
            <w:tcBorders/>
            <w:vAlign w:val="center"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</w:p>
        </w:tc>
        <w:tc>
          <w:tcPr>
            <w:tcW w:w="2831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  <w:tc>
          <w:tcPr>
            <w:tcW w:w="1414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>
              <w:rPr>
                <w:rFonts w:cs="Times New Roman"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>DA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>NE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 xml:space="preserve">Opterećenje </w:t>
            </w:r>
          </w:p>
        </w:tc>
        <w:tc>
          <w:tcPr>
            <w:tcW w:w="415" w:type="dxa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 w:ascii="Merriweather" w:hAnsi="Merriweather"/>
                <w:sz w:val="16"/>
                <w:szCs w:val="16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Merriweather" w:hAnsi="Merriweather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cs="Times New Roman" w:ascii="Merriweather" w:hAnsi="Merriweather"/>
                <w:sz w:val="16"/>
                <w:szCs w:val="20"/>
              </w:rPr>
            </w:r>
          </w:p>
        </w:tc>
        <w:tc>
          <w:tcPr>
            <w:tcW w:w="414" w:type="dxa"/>
            <w:gridSpan w:val="4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419" w:type="dxa"/>
            <w:gridSpan w:val="2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cs="Times New Roman" w:ascii="Merriweather" w:hAnsi="Merriweather"/>
                <w:sz w:val="16"/>
                <w:szCs w:val="20"/>
              </w:rPr>
            </w:r>
          </w:p>
        </w:tc>
        <w:tc>
          <w:tcPr>
            <w:tcW w:w="416" w:type="dxa"/>
            <w:gridSpan w:val="2"/>
            <w:tcBorders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Merriweather" w:hAnsi="Merriweather"/>
                <w:b/>
                <w:sz w:val="18"/>
                <w:szCs w:val="20"/>
              </w:rPr>
              <w:t>V</w:t>
            </w:r>
          </w:p>
        </w:tc>
        <w:tc>
          <w:tcPr>
            <w:tcW w:w="3179" w:type="dxa"/>
            <w:gridSpan w:val="15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Merriweather" w:hAnsi="Merriweather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b/>
                <w:b/>
                <w:sz w:val="18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  <w:szCs w:val="20"/>
                  </w:rPr>
                  <w:t>☐</w:t>
                </w:r>
                <w:r>
                  <w:rPr>
                    <w:rFonts w:eastAsia="MS Gothic" w:cs="MS Gothic" w:ascii="MS Gothic" w:hAnsi="MS Gothic"/>
                    <w:sz w:val="18"/>
                    <w:szCs w:val="20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8"/>
                <w:szCs w:val="20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  <w:szCs w:val="20"/>
              </w:rPr>
              <w:t xml:space="preserve">DA 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tcBorders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  <w:t xml:space="preserve">Novi kampus </w:t>
            </w:r>
          </w:p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  <w:t xml:space="preserve">sri 16-17:30 (109) </w:t>
            </w:r>
          </w:p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  <w:t>čet 8-9:30 (105)</w:t>
            </w:r>
          </w:p>
        </w:tc>
        <w:tc>
          <w:tcPr>
            <w:tcW w:w="2474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jc w:val="center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Jezik/jezici na kojima se izvodi kolegij</w:t>
            </w:r>
          </w:p>
        </w:tc>
        <w:tc>
          <w:tcPr>
            <w:tcW w:w="2517" w:type="dxa"/>
            <w:gridSpan w:val="11"/>
            <w:tcBorders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  <w:t>Hrvatski jezik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1. ožujka 2023.</w:t>
            </w:r>
          </w:p>
        </w:tc>
        <w:tc>
          <w:tcPr>
            <w:tcW w:w="2474" w:type="dxa"/>
            <w:gridSpan w:val="10"/>
            <w:tcBorders/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Završetak nastave</w:t>
            </w:r>
          </w:p>
        </w:tc>
        <w:tc>
          <w:tcPr>
            <w:tcW w:w="2517" w:type="dxa"/>
            <w:gridSpan w:val="11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7</w:t>
            </w:r>
            <w:r>
              <w:rPr>
                <w:rFonts w:cs="Times New Roman" w:ascii="Merriweather" w:hAnsi="Merriweather"/>
                <w:sz w:val="18"/>
              </w:rPr>
              <w:t>. lipnja 2023.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Matematika 1</w:t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cs="Times New Roman" w:ascii="Merriweather" w:hAnsi="Merriweather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eastAsia="Calibri" w:cs="Times New Roman" w:eastAsiaTheme="minorHAnsi"/>
                <w:color w:val="auto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Merriweather" w:hAnsi="Merriweather" w:eastAsiaTheme="minorHAnsi"/>
                <w:color w:val="auto"/>
                <w:kern w:val="0"/>
                <w:sz w:val="18"/>
                <w:szCs w:val="22"/>
                <w:lang w:val="hr-HR" w:eastAsia="en-US" w:bidi="ar-SA"/>
              </w:rPr>
              <w:t>izv. prof. Zoran Škoda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zskoda@unizd.hr</w:t>
            </w:r>
          </w:p>
        </w:tc>
        <w:tc>
          <w:tcPr>
            <w:tcW w:w="1507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86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Sri 17:30, Čet 11 (NK004)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eastAsia="Calibri" w:cs="Times New Roman" w:eastAsiaTheme="minorHAnsi"/>
                <w:color w:val="auto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Merriweather" w:hAnsi="Merriweather" w:eastAsiaTheme="minorHAnsi"/>
                <w:color w:val="auto"/>
                <w:kern w:val="0"/>
                <w:sz w:val="18"/>
                <w:szCs w:val="22"/>
                <w:lang w:val="hr-HR" w:eastAsia="en-US" w:bidi="ar-SA"/>
              </w:rPr>
              <w:t>izv. prof. Zoran Škoda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zskoda@unizd.hr</w:t>
            </w:r>
          </w:p>
        </w:tc>
        <w:tc>
          <w:tcPr>
            <w:tcW w:w="1507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86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  <w:tc>
          <w:tcPr>
            <w:tcW w:w="1507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86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jc w:val="right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  <w:tc>
          <w:tcPr>
            <w:tcW w:w="1507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86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cs="Times New Roman" w:ascii="Merriweather" w:hAnsi="Merriweather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8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predavanja</w:t>
            </w:r>
          </w:p>
        </w:tc>
        <w:tc>
          <w:tcPr>
            <w:tcW w:w="1501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seminari i radionice</w:t>
            </w:r>
          </w:p>
        </w:tc>
        <w:tc>
          <w:tcPr>
            <w:tcW w:w="149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  <w:r>
                  <w:rPr>
                    <w:rFonts w:eastAsia="MS Gothic" w:cs="MS Gothic" w:ascii="MS Gothic" w:hAnsi="MS Gothic"/>
                    <w:sz w:val="18"/>
                  </w:rPr>
                  <w:t>x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vježbe</w:t>
            </w:r>
          </w:p>
        </w:tc>
        <w:tc>
          <w:tcPr>
            <w:tcW w:w="1494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obrazovanje na daljinu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terenska nastava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samostalni zadaci</w:t>
            </w:r>
          </w:p>
        </w:tc>
        <w:tc>
          <w:tcPr>
            <w:tcW w:w="1501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multimedija i mreža</w:t>
            </w:r>
          </w:p>
        </w:tc>
        <w:tc>
          <w:tcPr>
            <w:tcW w:w="149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laboratorij</w:t>
            </w:r>
          </w:p>
        </w:tc>
        <w:tc>
          <w:tcPr>
            <w:tcW w:w="1494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mentorski rad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ostalo</w:t>
            </w:r>
          </w:p>
        </w:tc>
      </w:tr>
      <w:tr>
        <w:trPr/>
        <w:tc>
          <w:tcPr>
            <w:tcW w:w="3296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Nakon položenog ispita iz ovoga kolegija studenti će biti sposobni: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skicirati aksiomatski pristup geometriji ravnine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definirati osnovne geometrijske pojmove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izvesti osnovne geometrijske konstrukcije i projicirati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računati duljine, površine i volumene osnovnih geometrijskih krivulja,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likova i tijela u jednostavnim postavama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zaključivati o složenijim likovima na osnovu podjele na jednostavnije i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napose na trokute i o tijelima koristeći njihove dijelove i pomoćne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presjeke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- koristiti koordinatni i vektorski prikaz u geometriji ravnine i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jc w:val="both"/>
              <w:rPr>
                <w:rFonts w:ascii="Merriweather" w:hAnsi="Merriweather" w:cs="Times New Roman"/>
                <w:color w:val="000000"/>
                <w:sz w:val="18"/>
              </w:rPr>
            </w:pPr>
            <w:r>
              <w:rPr>
                <w:rFonts w:eastAsia="ArialNarrow" w:cs="Times New Roman" w:ascii="Times New Roman" w:hAnsi="Times New Roman"/>
                <w:color w:val="000000"/>
                <w:sz w:val="18"/>
                <w:szCs w:val="18"/>
              </w:rPr>
              <w:t>geometriji prostora u računanju te u prikazu u dinamičkom softveru</w:t>
            </w:r>
          </w:p>
        </w:tc>
      </w:tr>
      <w:tr>
        <w:trPr/>
        <w:tc>
          <w:tcPr>
            <w:tcW w:w="3296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cs="Times New Roman" w:ascii="Merriweather" w:hAnsi="Merriweather"/>
                <w:sz w:val="18"/>
                <w:szCs w:val="20"/>
              </w:rPr>
            </w:r>
          </w:p>
        </w:tc>
      </w:tr>
      <w:tr>
        <w:trPr>
          <w:trHeight w:val="190" w:hRule="atLeast"/>
        </w:trPr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pohađanje nastave</w:t>
            </w:r>
          </w:p>
        </w:tc>
        <w:tc>
          <w:tcPr>
            <w:tcW w:w="1501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priprema za nastavu</w:t>
            </w:r>
          </w:p>
        </w:tc>
        <w:tc>
          <w:tcPr>
            <w:tcW w:w="149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domaće zadaće</w:t>
            </w:r>
          </w:p>
        </w:tc>
        <w:tc>
          <w:tcPr>
            <w:tcW w:w="1494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kontinuirana evaluacija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istraživanje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praktični rad</w:t>
            </w:r>
          </w:p>
        </w:tc>
        <w:tc>
          <w:tcPr>
            <w:tcW w:w="1501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izlaganje</w:t>
            </w:r>
          </w:p>
        </w:tc>
        <w:tc>
          <w:tcPr>
            <w:tcW w:w="1494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projekt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seminar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kolokvij(i)</w:t>
            </w:r>
          </w:p>
        </w:tc>
        <w:tc>
          <w:tcPr>
            <w:tcW w:w="1501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usmeni ispit</w:t>
            </w:r>
          </w:p>
        </w:tc>
        <w:tc>
          <w:tcPr>
            <w:tcW w:w="2993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6"/>
                <w:szCs w:val="16"/>
              </w:rPr>
              <w:t xml:space="preserve"> </w:t>
            </w:r>
            <w:r>
              <w:rPr>
                <w:rFonts w:cs="Times New Roman" w:ascii="Merriweather" w:hAnsi="Merriweather"/>
                <w:sz w:val="16"/>
                <w:szCs w:val="16"/>
              </w:rPr>
              <w:t>ostalo: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i/>
                <w:i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>Student može pristupiti ispitu ako je bio prisutan na 70% nastave te ako je napisao i održao svoj seminarski rad</w:t>
            </w:r>
            <w:r>
              <w:rPr>
                <w:rFonts w:eastAsia="MS Gothic" w:cs="Times New Roman" w:ascii="Times New Roman" w:hAnsi="Times New Roman"/>
                <w:sz w:val="18"/>
              </w:rPr>
              <w:t>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Ispitni rokovi</w:t>
            </w:r>
          </w:p>
        </w:tc>
        <w:tc>
          <w:tcPr>
            <w:tcW w:w="2907" w:type="dxa"/>
            <w:gridSpan w:val="14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 xml:space="preserve">zimski ispitni rok </w:t>
            </w:r>
          </w:p>
        </w:tc>
        <w:tc>
          <w:tcPr>
            <w:tcW w:w="2468" w:type="dxa"/>
            <w:gridSpan w:val="12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</w:rPr>
              <w:t>jesenski ispitni rok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Termini ispitnih rokova</w:t>
            </w:r>
          </w:p>
        </w:tc>
        <w:tc>
          <w:tcPr>
            <w:tcW w:w="2907" w:type="dxa"/>
            <w:gridSpan w:val="14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</w:r>
          </w:p>
        </w:tc>
        <w:tc>
          <w:tcPr>
            <w:tcW w:w="246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Lipanj i srpanj 2023</w:t>
            </w:r>
          </w:p>
        </w:tc>
        <w:tc>
          <w:tcPr>
            <w:tcW w:w="2112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Rujan 2023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Osnove Euklidske planimetrije i stereometrije u aksiomatskom sintetičkom pristupu. 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3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Aksiomatski pristup planimetriji. Aksiomi incidencije. Aksiomi uređaja na pravcu. Usmjereni pravac. Ležati između dvije zadane točke. Konveksni skup. Dužina. Polupravac. Trokut.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Relacija ležati s iste strane pravca. Otvorene poluravnine kao razredi ekvivalencije za tu relaciju. Usmjereni (orijentirani) pravac. Kut kao par polupravaca. Kutni isječak. Orijentirani kut.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Udaljenost. Krug. Kružnica. Pojam geometrijske konstrukcije. Geometrijsko mjesto točaka. Polovište dužine i konstrukcija polovišta. Izometrije. Aksiomi simetrije. Osna simetrija. Simetrala kuta.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Opća svojstva izometrija. Osnovni teorem i izometrijama ravnine.  Međusobni položaj pravaca i kružnica; položaji dviju kružnica. Paralelnost i okomitost. Pojam neeuklidske geometrije. Sukladnost u terminima izometrije.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Rotacije, osne i centralne simetrije. Uspoređivanje i zbrajanje kuteva. Mjera kuta. Vanjski i nutarnji kutevi u trokutu. Zbroj unutarnjih kuteva u trokutu. Sukladnost u terminima trokuta.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Geometrija trokuta. Osnovna svojstva. Četiri osnovna teorema o sukladnosti trokuta i četiri osnovne konstrukcije trokuta. Paralelogram.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Visine, težišnice, upisane, opisane i pripisane kružnice. Karakteristične točke trokuta.  Poligonalne crte i mnogokuti. Kvadrat. Pravilni mnogokut. Konveksni i nekonveksni mnogokuti. Pojam površine. Površina  trokuta i mnogokuta. Duljina luka krivulje i opseg. Pitagorin teorem. Heronova formula.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Usmjerene dužine i slobodni vektori u ravnini. Operacije s vektorima. Translacija za vektor. Kartezijev koordinatni sustav u ravnini. Koordinatni prikaz pravca i kružnice. Parametarske jednadžbe. Weylovi aksiomi ravnine. Parametarsko zadavanje krivulje u ravnini i primjeri. Tumačenje parametrizacije preko gibanja i uvod u kinematiku materijalne točke. Prezentacija dinamičkog softvera u geometriji: geogebra.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Sličnost i homotetija. Teoremi o sličnosti trokuta. Projiciranje. Talesov teorem o proporcionalnosti. Perspektiva i točka u beskonačnosti. Par riječi o geometrijskoj optici: put svjetlosti, sjena, odražavanje i lom, leće i zrcala.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 xml:space="preserve">Površina kruga, kružnog isječka i odsječka, duljina kružnog luka. Tangencijalni i tetivni četverokut. Ptolomejev teorem. Teorem o središnjem i obodnom kutu. Talesov teorem o obodnom kutu.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sz w:val="18"/>
              </w:rPr>
              <w:t>Trigonometrijske funkcije za kut u trokutu. Sinusov i kosinusov poučak. Polarni koordinatni sustav u ravnini, njegova veza s kompleksnim brojevima (Eulerova formula, modul i argument kompleksnog broja). Trokut omeđen jediničnom kružnicom i trigonometrijske funkcije ma kojeg argumenta. Sinus i kosinus malog kuta. Ako vrijeme dopušta: hiperbolni analogon.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Skalarni umnožak vektora. Rotacija u terminima koordinata. Gibanje po kružnici. Kutna brzina. Oscilacije. Kompozicija rotacija i adicioni teoremi za sinus i kosinus. Zapis rotacije u terminima množenja kompleksnih brojeva. Potencija s obzirom na kružnicu i inverzija.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>
                <w:i w:val="false"/>
                <w:i w:val="false"/>
                <w:iCs w:val="false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sz w:val="18"/>
              </w:rPr>
              <w:t>Stereometrija: aksiomatika; paralelnost, okomitost i kutevi između ravnina i pravaca. Osnovna tijela, poliedri, prizma, paralelepiped, piramida, valjak, konus i kugla, volumeni i oplošja. Poprečni presjeci. Cavalierijev princip o poprečnim presjecima. Pravilni poliedri. Prostorni kut. Globus: sferni trokut, meridijani, paralele i geodezijske krivulje. Pojam gustoće. Izometrije prostora. Ako vrijeme dopušta: Čunjosječnice.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20" w:after="20"/>
              <w:contextualSpacing/>
              <w:rPr/>
            </w:pPr>
            <w:r>
              <w:rPr>
                <w:rFonts w:eastAsia="MS Gothic" w:cs="Times New Roman" w:ascii="Times New Roman" w:hAnsi="Times New Roman"/>
                <w:sz w:val="18"/>
              </w:rPr>
              <w:t>Koordinatni sustav, vektori i koordinatna računanja u prostoru. Weylov pristup aksiomatici. Parametarske jednadžbe krivulja i ploha. Implicitna jednadžba ravnine. Vektorski i mješoviti umnožak vektora. Korištenje izometrija u analitičkoj geometriji.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pacing w:before="120" w:after="0"/>
              <w:contextualSpacing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sz w:val="18"/>
              </w:rPr>
              <w:t>Sistematizacija gradiva kolegija, naročito zadnjeg dijela. Diskusija analitičkog i sintetičkog pristupa. Diskusija kvalitativnih i kvantitativnih obilježja u geometriji.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1218" w:leader="none"/>
              </w:tabs>
              <w:spacing w:before="20" w:after="20"/>
              <w:ind w:left="720" w:hanging="0"/>
              <w:contextualSpacing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Obavezna literatura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sz w:val="18"/>
              </w:rPr>
              <w:t>B. Pavković, D. Veljan, Elementarna matematika I (poglavlje III, planimetrija); Elementarna matematika II  (dio koji se odnosi na stereometriju), Školska knjiga, Zagreb 2003. i materijali kolegija na webu https://ncatlab.org/zoranskoda/show/zadarmat2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spacing w:before="0" w:after="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eastAsia="MS Gothic" w:cs="Times New Roman" w:ascii="Merriweather" w:hAnsi="Merriweather"/>
                <w:sz w:val="18"/>
                <w:szCs w:val="18"/>
              </w:rPr>
              <w:t>Poglavlje 5 u knjizi K. Horvatić, Linearna algebra, Tehnička knjiga 2005. Ukoliko vrijeme dopusti i dijelovi poglavlja 6.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0" w:after="0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sz w:val="18"/>
              </w:rPr>
              <w:t>https://ncatlab.org/zoranskoda/show/zadarmat2</w:t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+*Provjera ishoda učenja (prema uputama AZVO)</w:t>
            </w:r>
          </w:p>
        </w:tc>
        <w:tc>
          <w:tcPr>
            <w:tcW w:w="5755" w:type="dxa"/>
            <w:gridSpan w:val="28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eastAsia="MS Gothic" w:cs="Times New Roman"/>
                <w:color w:val="auto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Merriweather" w:hAnsi="Merriweather"/>
                <w:color w:val="auto"/>
                <w:kern w:val="0"/>
                <w:sz w:val="18"/>
                <w:szCs w:val="22"/>
                <w:lang w:val="hr-HR" w:eastAsia="en-US" w:bidi="ar-SA"/>
              </w:rPr>
              <w:t>Završni pismeni i usmeni ispit</w:t>
            </w:r>
          </w:p>
        </w:tc>
        <w:tc>
          <w:tcPr>
            <w:tcW w:w="1732" w:type="dxa"/>
            <w:gridSpan w:val="5"/>
            <w:tcBorders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2080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3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x</w:t>
                </w:r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384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7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2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5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7"/>
                <w:szCs w:val="17"/>
              </w:rPr>
              <w:t xml:space="preserve"> </w:t>
            </w:r>
            <w:r>
              <w:rPr>
                <w:rFonts w:cs="Times New Roman"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2820" w:leader="none"/>
              </w:tabs>
              <w:spacing w:before="0" w:after="0"/>
              <w:rPr>
                <w:rFonts w:ascii="Merriweather" w:hAnsi="Merriweather" w:eastAsia="Calibri" w:cs="Times New Roman" w:eastAsiaTheme="minorHAnsi"/>
                <w:color w:val="auto"/>
                <w:kern w:val="0"/>
                <w:sz w:val="18"/>
                <w:szCs w:val="18"/>
                <w:lang w:val="hr-HR" w:eastAsia="en-US" w:bidi="ar-SA"/>
              </w:rPr>
            </w:pPr>
            <w:r>
              <w:rPr>
                <w:rFonts w:eastAsia="Calibri" w:cs="Times New Roman" w:ascii="Merriweather" w:hAnsi="Merriweather" w:eastAsiaTheme="minorHAnsi"/>
                <w:color w:val="auto"/>
                <w:kern w:val="0"/>
                <w:sz w:val="18"/>
                <w:szCs w:val="18"/>
                <w:lang w:val="hr-HR" w:eastAsia="en-US" w:bidi="ar-SA"/>
              </w:rPr>
              <w:t xml:space="preserve">Položen pismeni je uvjet za izlaz na usmeni ispit. Završna ocjena formira se na usmenom ispitu uzevši u obzir ocjenu na pismenom i minimalne kriterije prolaza na usmenom ispitu. </w:t>
            </w:r>
          </w:p>
          <w:p>
            <w:pPr>
              <w:pStyle w:val="Normal"/>
              <w:tabs>
                <w:tab w:val="clear" w:pos="708"/>
                <w:tab w:val="left" w:pos="2820" w:leader="none"/>
              </w:tabs>
              <w:spacing w:before="0" w:after="0"/>
              <w:rPr>
                <w:rFonts w:ascii="Merriweather" w:hAnsi="Merriweather" w:eastAsia="Calibri" w:cs="Times New Roman"/>
                <w:sz w:val="18"/>
              </w:rPr>
            </w:pPr>
            <w:r>
              <w:rPr>
                <w:rFonts w:eastAsia="Calibri" w:cs="Times New Roman" w:ascii="Merriweather" w:hAnsi="Merriweather" w:eastAsiaTheme="minorHAnsi"/>
                <w:color w:val="auto"/>
                <w:kern w:val="0"/>
                <w:sz w:val="18"/>
                <w:szCs w:val="18"/>
                <w:lang w:val="hr-HR" w:eastAsia="en-US" w:bidi="ar-SA"/>
              </w:rPr>
              <w:t>Osim u posebnim slučajevima opravdane spriječenosti, tolerira se izostanak s najviše 30% predavanja.</w:t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Ocjenjivanje kolokvija i završnog ispita (%)</w:t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&lt;50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% nedovoljan (1)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50-62.5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% dovoljan (2)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62.5-75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% dobar (3)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75-87.5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% vrlo dobar (4)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87.5-100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cs="Times New Roman" w:ascii="Merriweather" w:hAnsi="Merriweather"/>
                <w:sz w:val="18"/>
              </w:rPr>
              <w:t>% izvrstan (5)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 xml:space="preserve">studentska evaluacija nastave na razini Sveučilišta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studentska evaluacija nastave na razini sastavnice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 xml:space="preserve">interna evaluacija nastave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☒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tematske sjednice stručnih vijeća sastavnica o kvaliteti nastave i rezultatima studentske ankete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8"/>
                  </w:rPr>
                  <w:t>☐</w:t>
                </w:r>
              </w:sdtContent>
            </w:sdt>
            <w:r>
              <w:rPr>
                <w:rFonts w:cs="Times New Roman" w:ascii="Merriweather" w:hAnsi="Merriweather"/>
                <w:sz w:val="18"/>
              </w:rPr>
              <w:t xml:space="preserve"> </w:t>
            </w:r>
            <w:r>
              <w:rPr>
                <w:rFonts w:cs="Times New Roman" w:ascii="Merriweather" w:hAnsi="Merriweather"/>
                <w:sz w:val="18"/>
              </w:rPr>
              <w:t>ostalo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Napomena / </w:t>
            </w:r>
          </w:p>
          <w:p>
            <w:pPr>
              <w:pStyle w:val="Normal"/>
              <w:spacing w:before="20" w:after="20"/>
              <w:rPr>
                <w:rFonts w:ascii="Merriweather" w:hAnsi="Merriweather" w:cs="Times New Roman"/>
                <w:b/>
                <w:b/>
                <w:sz w:val="18"/>
              </w:rPr>
            </w:pPr>
            <w:r>
              <w:rPr>
                <w:rFonts w:cs="Times New Roman" w:ascii="Merriweather" w:hAnsi="Merriweather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Sukladno čl. 6. </w:t>
            </w:r>
            <w:r>
              <w:rPr>
                <w:rFonts w:eastAsia="MS Gothic" w:cs="Times New Roman" w:ascii="Merriweather" w:hAnsi="Merriweather"/>
                <w:i/>
                <w:sz w:val="18"/>
              </w:rPr>
              <w:t>Etičkog kodeksa</w:t>
            </w:r>
            <w:r>
              <w:rPr>
                <w:rFonts w:eastAsia="MS Gothic" w:cs="Times New Roman" w:ascii="Merriweather" w:hAnsi="Merriweather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Prema čl. 14. </w:t>
            </w:r>
            <w:r>
              <w:rPr>
                <w:rFonts w:eastAsia="MS Gothic" w:cs="Times New Roman" w:ascii="Merriweather" w:hAnsi="Merriweather"/>
                <w:i/>
                <w:sz w:val="18"/>
              </w:rPr>
              <w:t>Etičkog kodeksa</w:t>
            </w:r>
            <w:r>
              <w:rPr>
                <w:rFonts w:eastAsia="MS Gothic" w:cs="Times New Roman" w:ascii="Merriweather" w:hAnsi="Merriweather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cs="Times New Roman" w:ascii="Merriweather" w:hAnsi="Merriweather"/>
              </w:rPr>
              <w:t xml:space="preserve"> </w:t>
            </w:r>
            <w:r>
              <w:rPr>
                <w:rFonts w:eastAsia="MS Gothic" w:cs="Times New Roman" w:ascii="Merriweather" w:hAnsi="Merriweather"/>
                <w:sz w:val="18"/>
              </w:rPr>
              <w:t xml:space="preserve">[…]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3">
              <w:r>
                <w:rPr>
                  <w:rStyle w:val="InternetLink"/>
                  <w:rFonts w:eastAsia="MS Gothic" w:cs="Times New Roman" w:ascii="Merriweather" w:hAnsi="Merriweather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eastAsia="MS Gothic" w:cs="Times New Roman" w:ascii="Merriweather" w:hAnsi="Merriweather"/>
                <w:sz w:val="18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Osim u eksplicitno dozvoljenim i opravdanim slučajevima, korištenje mobitela u vrijeme nastave uživo je zabranjeno. U vrijeme ispita uživo korištenje mobitela je strogo zabranjeno bez izuzetaka. </w:t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</w:r>
          </w:p>
          <w:p>
            <w:pPr>
              <w:pStyle w:val="Normal"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Merriweather" w:hAnsi="Merriweather" w:eastAsia="MS Gothic" w:cs="Times New Roman"/>
                <w:sz w:val="18"/>
              </w:rPr>
            </w:pPr>
            <w:r>
              <w:rPr>
                <w:rFonts w:eastAsia="MS Gothic" w:cs="Times New Roman" w:ascii="Merriweather" w:hAnsi="Merriweather"/>
                <w:sz w:val="18"/>
              </w:rPr>
              <w:t xml:space="preserve">U kolegiju se koristi Merlin, sustav za e-učenje, pa su studentima/cama potrebni AAI računi. </w:t>
            </w:r>
          </w:p>
        </w:tc>
      </w:tr>
    </w:tbl>
    <w:p>
      <w:pPr>
        <w:pStyle w:val="Normal"/>
        <w:spacing w:before="120" w:after="120"/>
        <w:rPr>
          <w:rFonts w:ascii="Georgia" w:hAnsi="Georgia" w:cs="Times New Roman"/>
          <w:sz w:val="24"/>
        </w:rPr>
      </w:pPr>
      <w:r>
        <w:rPr/>
      </w:r>
    </w:p>
    <w:sectPr>
      <w:headerReference w:type="default" r:id="rId4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erriweather">
    <w:charset w:val="01"/>
    <w:family w:val="roman"/>
    <w:pitch w:val="variable"/>
  </w:font>
  <w:font w:name="MS Gothic">
    <w:charset w:val="01"/>
    <w:family w:val="roman"/>
    <w:pitch w:val="variable"/>
  </w:font>
  <w:font w:name="Georg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rFonts w:ascii="Merriweather" w:hAnsi="Merriweather"/>
          <w:sz w:val="15"/>
          <w:szCs w:val="15"/>
        </w:rPr>
      </w:pPr>
      <w:r>
        <w:rPr>
          <w:rStyle w:val="FootnoteCharacters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cs="Times New Roman" w:ascii="Merriweather" w:hAnsi="Merriweather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ing2"/>
      <w:tabs>
        <w:tab w:val="clear" w:pos="708"/>
        <w:tab w:val="left" w:pos="1418" w:leader="none"/>
      </w:tabs>
      <w:spacing w:beforeAutospacing="0" w:before="0" w:afterAutospacing="0" w:after="0"/>
      <w:ind w:left="1560" w:right="-142" w:hanging="0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5" wp14:anchorId="4F3710A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6495" cy="960755"/>
              <wp:effectExtent l="0" t="0" r="17780" b="13970"/>
              <wp:wrapNone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604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28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4535" cy="782955"/>
                                <wp:effectExtent l="0" t="0" r="0" b="0"/>
                                <wp:docPr id="3" name="Picture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t" style="position:absolute;margin-left:-16.35pt;margin-top:-21.1pt;width:91.75pt;height:75.55pt" wp14:anchorId="4F3710A0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FrameContents"/>
                      <w:spacing w:before="0" w:after="28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>
        <w:bottom w:val="single" w:sz="4" w:space="1" w:color="000000"/>
      </w:pBdr>
      <w:tabs>
        <w:tab w:val="clear" w:pos="708"/>
        <w:tab w:val="left" w:pos="1418" w:leader="none"/>
      </w:tabs>
      <w:spacing w:before="0" w:after="0"/>
      <w:ind w:left="1560" w:hanging="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947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947ba"/>
    <w:rPr/>
  </w:style>
  <w:style w:type="character" w:styleId="Internet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9745e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8283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zd.hr/Portals/50/Ucitelj_ prog_ korekcije zadnje (2) 10_11_.docx" TargetMode="External"/><Relationship Id="rId3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9527-F116-4F7F-845B-D3147AC8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LibreOffice/6.4.7.2$Linux_X86_64 LibreOffice_project/40$Build-2</Application>
  <Pages>4</Pages>
  <Words>1334</Words>
  <Characters>8363</Characters>
  <CharactersWithSpaces>9527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2021-09-20T11:53:00Z</dcterms:created>
  <dc:creator>ILončar</dc:creator>
  <dc:description/>
  <dc:language>en-US</dc:language>
  <cp:lastModifiedBy/>
  <cp:lastPrinted>2021-02-12T11:27:00Z</cp:lastPrinted>
  <dcterms:modified xsi:type="dcterms:W3CDTF">2023-02-15T12:57:17Z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GrammarlyDocumentId">
    <vt:lpwstr>e0563b0163665242265f35342a345bac122b961c0f24a7e3932c53cab076190b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